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EA27DA" w:rsidRDefault="00EA27DA" w:rsidP="00EA27DA">
      <w:pPr>
        <w:jc w:val="center"/>
      </w:pPr>
      <w:r>
        <w:rPr>
          <w:noProof/>
        </w:rPr>
        <w:drawing>
          <wp:inline distT="0" distB="0" distL="0" distR="0" wp14:anchorId="47CC6577" wp14:editId="21C300AA">
            <wp:extent cx="4130566" cy="810399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1646" cy="8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EA27DA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EA27D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>
      <w:rPr>
        <w:i/>
      </w:rPr>
      <w:t>NIAID, DAIDS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EA27DA">
      <w:t xml:space="preserve"> 828</w:t>
    </w:r>
    <w:r w:rsidR="00C518D3">
      <w:t xml:space="preserve"> </w:t>
    </w:r>
    <w:r w:rsidR="00EA27DA" w:rsidRPr="00EA27DA">
      <w:t>HIV-1 Protease Optimized Cloning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EA27DA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27DA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B6FD4-C87D-4671-81AE-BA28A927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2018-11-14T19:35:00Z</dcterms:created>
  <dcterms:modified xsi:type="dcterms:W3CDTF">2018-11-14T19:35:00Z</dcterms:modified>
</cp:coreProperties>
</file>